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9504" w:val="right"/>
        </w:tabs>
        <w:spacing w:after="360"/>
      </w:pPr>
      <w:r>
        <w:rPr>
          <w:rFonts w:ascii="Aptos" w:hAnsi="Aptos"/>
          <w:b/>
          <w:i w:val="0"/>
          <w:color w:val="472D4D"/>
          <w:sz w:val="20"/>
        </w:rPr>
        <w:t>CONVERSA</w:t>
      </w:r>
      <w:r>
        <w:rPr>
          <w:rFonts w:ascii="Aptos" w:hAnsi="Aptos"/>
          <w:b/>
          <w:i w:val="0"/>
          <w:color w:val="285F78"/>
          <w:sz w:val="17"/>
        </w:rPr>
        <w:tab/>
        <w:t>NOTE</w:t>
      </w:r>
    </w:p>
    <w:p>
      <w:pPr>
        <w:spacing w:before="240" w:after="60"/>
      </w:pPr>
      <w:r>
        <w:rPr>
          <w:rFonts w:ascii="Aptos" w:hAnsi="Aptos"/>
          <w:b/>
          <w:i w:val="0"/>
          <w:color w:val="285F78"/>
          <w:sz w:val="18"/>
        </w:rPr>
        <w:t>PUBLIC CHOICES · 6 MINUTE READ</w:t>
      </w:r>
    </w:p>
    <w:p>
      <w:pPr>
        <w:pStyle w:val="Title"/>
      </w:pPr>
      <w:r>
        <w:t>Being heard is not the same as shaping a decision.</w:t>
      </w:r>
    </w:p>
    <w:p>
      <w:pPr>
        <w:pStyle w:val="Standfirst"/>
      </w:pPr>
      <w:r>
        <w:rPr>
          <w:rFonts w:ascii="Aptos" w:hAnsi="Aptos"/>
          <w:b w:val="0"/>
          <w:i w:val="0"/>
          <w:color w:val="27222A"/>
          <w:sz w:val="23"/>
        </w:rPr>
        <w:t>Inviting people to speak can be valuable. It does not, by itself, tell us how much influence they had over what happened next.</w:t>
      </w:r>
    </w:p>
    <w:p>
      <w:r>
        <w:rPr>
          <w:rFonts w:ascii="Aptos" w:hAnsi="Aptos"/>
          <w:b w:val="0"/>
          <w:i w:val="0"/>
          <w:color w:val="27222A"/>
          <w:sz w:val="23"/>
        </w:rPr>
        <w:t>A meeting can include many voices and still leave the important decisions untouched. A consultation can gather thoughtful responses without showing how those responses were weighed. People may have spoken, but still be unsure whether anything could change.</w:t>
      </w:r>
    </w:p>
    <w:p>
      <w:pPr>
        <w:pStyle w:val="Heading1"/>
      </w:pPr>
      <w:r>
        <w:rPr>
          <w:rFonts w:ascii="Aptos" w:hAnsi="Aptos"/>
          <w:b w:val="0"/>
          <w:i w:val="0"/>
          <w:color w:val="27222A"/>
          <w:sz w:val="23"/>
        </w:rPr>
        <w:t>Look beyond the invitation</w:t>
      </w:r>
    </w:p>
    <w:p>
      <w:r>
        <w:rPr>
          <w:rFonts w:ascii="Aptos" w:hAnsi="Aptos"/>
          <w:b w:val="0"/>
          <w:i w:val="0"/>
          <w:color w:val="27222A"/>
          <w:sz w:val="23"/>
        </w:rPr>
        <w:t>Meaningful participation depends on more than who was in the room. It also depends on what was open to change, who held the final decision and whether people could see how their contribution was used.</w:t>
      </w:r>
    </w:p>
    <w:p>
      <w:pPr>
        <w:keepLines/>
        <w:spacing w:before="200" w:after="240"/>
        <w:ind w:left="403" w:right="317"/>
      </w:pPr>
      <w:r>
        <w:rPr>
          <w:rFonts w:ascii="Georgia" w:hAnsi="Georgia"/>
          <w:b w:val="0"/>
          <w:i w:val="0"/>
          <w:color w:val="FF6B52"/>
          <w:sz w:val="42"/>
        </w:rPr>
        <w:t>“</w:t>
      </w:r>
      <w:r>
        <w:rPr>
          <w:rFonts w:ascii="Georgia" w:hAnsi="Georgia"/>
          <w:b w:val="0"/>
          <w:i/>
          <w:color w:val="000000"/>
          <w:sz w:val="27"/>
        </w:rPr>
        <w:t>Trust needs more than an opportunity to speak. It needs evidence of what happened afterwards.</w:t>
      </w:r>
      <w:r>
        <w:rPr>
          <w:rFonts w:ascii="Georgia" w:hAnsi="Georgia"/>
          <w:b w:val="0"/>
          <w:i w:val="0"/>
          <w:color w:val="FF6B52"/>
          <w:sz w:val="42"/>
        </w:rPr>
        <w:t>”</w:t>
      </w:r>
    </w:p>
    <w:p>
      <w:pPr>
        <w:pStyle w:val="Heading1"/>
      </w:pPr>
      <w:r>
        <w:rPr>
          <w:rFonts w:ascii="Aptos" w:hAnsi="Aptos"/>
          <w:b w:val="0"/>
          <w:i w:val="0"/>
          <w:color w:val="27222A"/>
          <w:sz w:val="23"/>
        </w:rPr>
        <w:t>Questions worth asking</w:t>
      </w:r>
    </w:p>
    <w:p>
      <w:pPr>
        <w:pStyle w:val="ListBullet"/>
        <w:spacing w:after="100"/>
      </w:pPr>
      <w:r>
        <w:rPr>
          <w:rFonts w:ascii="Aptos" w:hAnsi="Aptos"/>
          <w:b w:val="0"/>
          <w:i w:val="0"/>
          <w:color w:val="27222A"/>
          <w:sz w:val="23"/>
        </w:rPr>
        <w:t>What is already decided, and what is genuinely open?</w:t>
      </w:r>
    </w:p>
    <w:p>
      <w:pPr>
        <w:pStyle w:val="ListBullet"/>
        <w:spacing w:after="100"/>
      </w:pPr>
      <w:r>
        <w:rPr>
          <w:rFonts w:ascii="Aptos" w:hAnsi="Aptos"/>
          <w:b w:val="0"/>
          <w:i w:val="0"/>
          <w:color w:val="27222A"/>
          <w:sz w:val="23"/>
        </w:rPr>
        <w:t>Whose knowledge is being treated as important?</w:t>
      </w:r>
    </w:p>
    <w:p>
      <w:pPr>
        <w:pStyle w:val="ListBullet"/>
        <w:spacing w:after="100"/>
      </w:pPr>
      <w:r>
        <w:rPr>
          <w:rFonts w:ascii="Aptos" w:hAnsi="Aptos"/>
          <w:b w:val="0"/>
          <w:i w:val="0"/>
          <w:color w:val="27222A"/>
          <w:sz w:val="23"/>
        </w:rPr>
        <w:t>Who may carry the consequences of this choice?</w:t>
      </w:r>
    </w:p>
    <w:p>
      <w:pPr>
        <w:pStyle w:val="ListBullet"/>
        <w:spacing w:after="100"/>
      </w:pPr>
      <w:r>
        <w:rPr>
          <w:rFonts w:ascii="Aptos" w:hAnsi="Aptos"/>
          <w:b w:val="0"/>
          <w:i w:val="0"/>
          <w:color w:val="27222A"/>
          <w:sz w:val="23"/>
        </w:rPr>
        <w:t>How will people learn what changed, and what did not?</w:t>
      </w:r>
    </w:p>
    <w:p>
      <w:r>
        <w:rPr>
          <w:rFonts w:ascii="Aptos" w:hAnsi="Aptos"/>
          <w:b w:val="0"/>
          <w:i w:val="0"/>
          <w:color w:val="27222A"/>
          <w:sz w:val="23"/>
        </w:rPr>
        <w:t>There will often be limits. Naming them clearly is more respectful than implying a level of influence that is not available.</w:t>
      </w:r>
    </w:p>
    <w:p>
      <w:pPr>
        <w:spacing w:before="320"/>
      </w:pPr>
      <w:r>
        <w:rPr>
          <w:rFonts w:ascii="Aptos" w:hAnsi="Aptos"/>
          <w:b w:val="0"/>
          <w:i w:val="0"/>
          <w:color w:val="68616A"/>
          <w:sz w:val="19"/>
        </w:rPr>
        <w:t xml:space="preserve">Published by Conversa. Read the latest version at </w:t>
      </w:r>
      <w:hyperlink r:id="rId9">
        <w:r>
          <w:rPr>
            <w:color w:val="285F78"/>
            <w:u w:val="single"/>
            <w:rFonts w:ascii="Aptos" w:hAnsi="Aptos"/>
            <w:sz w:val="23"/>
          </w:rPr>
          <w:t>conversastudio.org/being-heard-and-shaping-decisions</w:t>
        </w:r>
      </w:hyperlink>
    </w:p>
    <w:sectPr w:rsidR="00FC693F" w:rsidRPr="0006063C" w:rsidSect="00034616">
      <w:pgSz w:w="12240" w:h="15840"/>
      <w:pgMar w:top="1037" w:right="1267" w:bottom="1037" w:left="1267"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4" w:lineRule="auto"/>
    </w:pPr>
    <w:rPr>
      <w:rFonts w:ascii="Aptos" w:hAnsi="Aptos"/>
      <w:color w:val="2722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40"/>
      <w:outlineLvl w:val="0"/>
    </w:pPr>
    <w:rPr>
      <w:rFonts w:asciiTheme="majorHAnsi" w:eastAsiaTheme="majorEastAsia" w:hAnsiTheme="majorHAnsi" w:cstheme="majorBidi" w:ascii="Aptos Display" w:hAnsi="Aptos Display"/>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300" w:after="100"/>
      <w:outlineLvl w:val="1"/>
    </w:pPr>
    <w:rPr>
      <w:rFonts w:asciiTheme="majorHAnsi" w:eastAsiaTheme="majorEastAsia" w:hAnsiTheme="majorHAnsi" w:cstheme="majorBidi" w:ascii="Aptos Display" w:hAnsi="Aptos Display"/>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before="280"/>
      <w:contextualSpacing/>
    </w:pPr>
    <w:rPr>
      <w:rFonts w:asciiTheme="majorHAnsi" w:eastAsiaTheme="majorEastAsia" w:hAnsiTheme="majorHAnsi" w:cstheme="majorBidi" w:ascii="Aptos Display" w:hAnsi="Aptos Display"/>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first">
    <w:name w:val="Standfirst"/>
    <w:pPr>
      <w:spacing w:after="320" w:line="276" w:lineRule="auto"/>
    </w:pPr>
    <w:rPr>
      <w:rFonts w:ascii="Aptos" w:hAnsi="Aptos"/>
      <w:color w:val="27222A"/>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conversastudio.org/being-heard-and-shaping-decisio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Being heard is not the same as shaping a decision.</dc:title>
  <dc:subject>Conversa note</dc:subject>
  <dc:creator>Conversa</dc:creator>
  <cp:keywords>Conversa, conversations, civic life, facilitation</cp:keywords>
  <dc:description>generated by python-docx</dc:description>
  <cp:lastModifiedBy/>
  <cp:revision>1</cp:revision>
  <dcterms:created xsi:type="dcterms:W3CDTF">2013-12-23T23:15:00Z</dcterms:created>
  <dcterms:modified xsi:type="dcterms:W3CDTF">2013-12-23T23:15:00Z</dcterms:modified>
  <cp:category/>
</cp:coreProperties>
</file>